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                                </w:t>
      </w:r>
      <w:r>
        <w:rPr>
          <w:rFonts w:hint="default" w:ascii="Arial" w:hAnsi="Arial" w:cs="Arial"/>
          <w:b/>
          <w:color w:val="auto"/>
          <w:sz w:val="24"/>
          <w:lang w:val="en-US" w:eastAsia="zh-CN"/>
        </w:rPr>
        <w:t>R4-2</w:t>
      </w:r>
      <w:r>
        <w:rPr>
          <w:rFonts w:hint="eastAsia" w:cs="Arial"/>
          <w:b/>
          <w:color w:val="auto"/>
          <w:sz w:val="24"/>
          <w:lang w:val="en-US" w:eastAsia="zh-CN"/>
        </w:rPr>
        <w:t>411894</w:t>
      </w:r>
      <w:bookmarkStart w:id="0" w:name="_GoBack"/>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Netherlands, 19th-23th Aug,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After the online discussion in RAN4#111 meeting, there are still many controversial issues left without consensus. In this contribution, we continue to discuss the BS requirements for LP-WUS/LP-WUR.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Concept of </w:t>
      </w:r>
      <w:r>
        <w:rPr>
          <w:rFonts w:hint="eastAsia" w:ascii="Arial" w:hAnsi="Arial" w:cs="Arial"/>
          <w:b/>
          <w:bCs/>
          <w:i w:val="0"/>
          <w:iCs w:val="0"/>
          <w:sz w:val="22"/>
          <w:szCs w:val="22"/>
          <w:highlight w:val="none"/>
          <w:u w:val="none"/>
          <w:lang w:val="en-US" w:eastAsia="zh-CN"/>
        </w:rPr>
        <w:t>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 xml:space="preserve">In RAN4#111 meeting, RAN4 discussed the definition of dynamic range of LP-WUS and there are two options to be considered as follows[1]. </w:t>
      </w:r>
      <w:r>
        <w:rPr>
          <w:rFonts w:hint="eastAsia"/>
          <w:bCs/>
          <w:i w:val="0"/>
          <w:iCs w:val="0"/>
          <w:color w:val="auto"/>
          <w:kern w:val="0"/>
          <w:sz w:val="20"/>
          <w:szCs w:val="20"/>
          <w:highlight w:val="none"/>
          <w:vertAlign w:val="baseline"/>
          <w:lang w:val="en-US" w:eastAsia="zh-CN"/>
        </w:rPr>
        <w:t>Option 1 was approved in RAN4#110bis meeting, while Option 2 was proposed by [2] in RAN4#111 meeting considering the difference between LP-WUS and NB-IoT in PRB number. The difference between dynamic range (Option 1) and EPRE ratio (Option 2) is shown in Fig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1"/>
              <w:keepNext w:val="0"/>
              <w:keepLines w:val="0"/>
              <w:pageBreakBefore w:val="0"/>
              <w:widowControl/>
              <w:kinsoku/>
              <w:wordWrap/>
              <w:overflowPunct/>
              <w:topLinePunct w:val="0"/>
              <w:autoSpaceDE/>
              <w:autoSpaceDN/>
              <w:bidi w:val="0"/>
              <w:adjustRightInd/>
              <w:snapToGrid w:val="0"/>
              <w:spacing w:after="157" w:afterLines="50" w:line="240" w:lineRule="auto"/>
              <w:ind w:left="0" w:firstLine="0"/>
              <w:textAlignment w:val="auto"/>
              <w:rPr>
                <w:b/>
                <w:bCs/>
                <w:sz w:val="20"/>
                <w:szCs w:val="20"/>
              </w:rPr>
            </w:pPr>
            <w:r>
              <w:rPr>
                <w:b/>
                <w:bCs/>
                <w:sz w:val="20"/>
                <w:szCs w:val="20"/>
              </w:rPr>
              <w:t>Concept of LP-WUS dynamic range/power boosting</w:t>
            </w:r>
          </w:p>
          <w:p>
            <w:pPr>
              <w:pStyle w:val="31"/>
              <w:keepNext w:val="0"/>
              <w:keepLines w:val="0"/>
              <w:pageBreakBefore w:val="0"/>
              <w:widowControl/>
              <w:kinsoku/>
              <w:wordWrap/>
              <w:overflowPunct/>
              <w:topLinePunct w:val="0"/>
              <w:autoSpaceDE/>
              <w:autoSpaceDN/>
              <w:bidi w:val="0"/>
              <w:adjustRightInd/>
              <w:snapToGrid w:val="0"/>
              <w:spacing w:after="157" w:afterLines="50" w:line="240" w:lineRule="auto"/>
              <w:ind w:left="0" w:firstLine="0"/>
              <w:textAlignment w:val="auto"/>
              <w:rPr>
                <w:b/>
                <w:lang w:eastAsia="zh-CN"/>
              </w:rPr>
            </w:pPr>
            <w:r>
              <w:rPr>
                <w:rFonts w:eastAsia="宋体"/>
                <w:szCs w:val="24"/>
                <w:lang w:eastAsia="zh-CN"/>
              </w:rPr>
              <w:t>FFS on the following options for next meeting:</w:t>
            </w:r>
            <w:r>
              <w:rPr>
                <w:rFonts w:eastAsia="宋体"/>
                <w:color w:val="0070C0"/>
                <w:szCs w:val="24"/>
                <w:lang w:eastAsia="zh-CN"/>
              </w:rPr>
              <w:t xml:space="preserve"> </w:t>
            </w:r>
          </w:p>
          <w:p>
            <w:pPr>
              <w:pStyle w:val="31"/>
              <w:keepNext w:val="0"/>
              <w:keepLines w:val="0"/>
              <w:pageBreakBefore w:val="0"/>
              <w:widowControl/>
              <w:numPr>
                <w:ilvl w:val="0"/>
                <w:numId w:val="4"/>
              </w:numPr>
              <w:kinsoku/>
              <w:wordWrap/>
              <w:overflowPunct/>
              <w:topLinePunct w:val="0"/>
              <w:autoSpaceDE/>
              <w:autoSpaceDN/>
              <w:bidi w:val="0"/>
              <w:adjustRightInd/>
              <w:snapToGrid w:val="0"/>
              <w:spacing w:after="157" w:afterLines="50" w:line="240" w:lineRule="auto"/>
              <w:textAlignment w:val="auto"/>
              <w:rPr>
                <w:rFonts w:eastAsia="宋体"/>
                <w:szCs w:val="24"/>
                <w:lang w:eastAsia="zh-CN"/>
              </w:rPr>
            </w:pPr>
            <w:r>
              <w:rPr>
                <w:rFonts w:eastAsia="宋体"/>
                <w:szCs w:val="24"/>
                <w:lang w:eastAsia="zh-CN"/>
              </w:rPr>
              <w:t>Option 1: Stick with the one in RAN4#110bis approved WF R4-2406140, which is:</w:t>
            </w:r>
          </w:p>
          <w:p>
            <w:pPr>
              <w:pStyle w:val="31"/>
              <w:keepNext w:val="0"/>
              <w:keepLines w:val="0"/>
              <w:pageBreakBefore w:val="0"/>
              <w:widowControl/>
              <w:numPr>
                <w:ilvl w:val="1"/>
                <w:numId w:val="4"/>
              </w:numPr>
              <w:kinsoku/>
              <w:wordWrap/>
              <w:overflowPunct/>
              <w:topLinePunct w:val="0"/>
              <w:autoSpaceDE/>
              <w:autoSpaceDN/>
              <w:bidi w:val="0"/>
              <w:adjustRightInd/>
              <w:snapToGrid w:val="0"/>
              <w:spacing w:after="157" w:afterLines="50" w:line="240" w:lineRule="auto"/>
              <w:textAlignment w:val="auto"/>
              <w:rPr>
                <w:rFonts w:eastAsia="宋体"/>
                <w:szCs w:val="24"/>
                <w:lang w:eastAsia="zh-CN"/>
              </w:rPr>
            </w:pPr>
            <w:r>
              <w:rPr>
                <w:rFonts w:eastAsia="宋体"/>
                <w:szCs w:val="24"/>
                <w:lang w:eastAsia="zh-CN"/>
              </w:rPr>
              <w:t>The LP-WUS RB power dynamic range (or LP-WUS power boosting) is the difference between the average power of LP-WUS REs (which occupy certain REs within a NR transmission bandwidth configuration</w:t>
            </w:r>
            <w:r>
              <w:rPr>
                <w:rFonts w:hint="eastAsia"/>
                <w:szCs w:val="24"/>
                <w:lang w:val="en-US" w:eastAsia="zh-CN"/>
              </w:rPr>
              <w:t>)</w:t>
            </w:r>
            <w:r>
              <w:rPr>
                <w:rFonts w:eastAsia="宋体"/>
                <w:szCs w:val="24"/>
                <w:lang w:eastAsia="zh-CN"/>
              </w:rPr>
              <w:t xml:space="preserve"> and the average power over all REs (from both LP-WUS and the NR carrier containing the LP-WUS REs).</w:t>
            </w:r>
          </w:p>
          <w:p>
            <w:pPr>
              <w:pStyle w:val="31"/>
              <w:keepNext w:val="0"/>
              <w:keepLines w:val="0"/>
              <w:pageBreakBefore w:val="0"/>
              <w:widowControl/>
              <w:numPr>
                <w:ilvl w:val="0"/>
                <w:numId w:val="4"/>
              </w:numPr>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eastAsia="宋体"/>
                <w:szCs w:val="24"/>
                <w:lang w:eastAsia="zh-CN"/>
              </w:rPr>
              <w:t>Option 2: Define EPRE ratio between LP-WUS and NR signals instead of power dynamic range.</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pPr>
      <w:r>
        <w:drawing>
          <wp:inline distT="0" distB="0" distL="114300" distR="114300">
            <wp:extent cx="2790825" cy="2567940"/>
            <wp:effectExtent l="0" t="0" r="1333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90825" cy="25679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lang w:val="en-US" w:eastAsia="zh-CN"/>
        </w:rPr>
      </w:pPr>
      <w:r>
        <w:rPr>
          <w:rFonts w:hint="eastAsia" w:cs="Times New Roman"/>
          <w:b/>
          <w:bCs/>
          <w:i w:val="0"/>
          <w:iCs w:val="0"/>
          <w:sz w:val="20"/>
          <w:szCs w:val="20"/>
          <w:highlight w:val="none"/>
          <w:lang w:val="en-US" w:eastAsia="zh-CN"/>
        </w:rPr>
        <w:t>Fig. 1  The difference between dynamic range and EPRE ratio.</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szCs w:val="24"/>
          <w:lang w:val="en-US" w:eastAsia="zh-CN"/>
        </w:rPr>
      </w:pPr>
      <w:r>
        <w:rPr>
          <w:rFonts w:hint="eastAsia"/>
          <w:bCs/>
          <w:i w:val="0"/>
          <w:iCs w:val="0"/>
          <w:color w:val="auto"/>
          <w:kern w:val="0"/>
          <w:sz w:val="20"/>
          <w:szCs w:val="20"/>
          <w:highlight w:val="none"/>
          <w:vertAlign w:val="baseline"/>
          <w:lang w:val="en-US" w:eastAsia="zh-CN"/>
        </w:rPr>
        <w:t xml:space="preserve">For Option 1, </w:t>
      </w:r>
      <w:r>
        <w:rPr>
          <w:rFonts w:eastAsia="宋体"/>
          <w:szCs w:val="24"/>
          <w:lang w:eastAsia="zh-CN"/>
        </w:rPr>
        <w:t>the difference between the average power of LP-WUS REs</w:t>
      </w:r>
      <w:r>
        <w:rPr>
          <w:rFonts w:hint="eastAsia" w:eastAsia="宋体"/>
          <w:szCs w:val="24"/>
          <w:lang w:val="en-US" w:eastAsia="zh-CN"/>
        </w:rPr>
        <w:t xml:space="preserve"> </w:t>
      </w:r>
      <w:r>
        <w:rPr>
          <w:rFonts w:eastAsia="宋体"/>
          <w:szCs w:val="24"/>
          <w:lang w:eastAsia="zh-CN"/>
        </w:rPr>
        <w:t>and the average power over all REs</w:t>
      </w:r>
      <w:r>
        <w:rPr>
          <w:rFonts w:hint="eastAsia" w:eastAsia="宋体"/>
          <w:szCs w:val="24"/>
          <w:lang w:val="en-US" w:eastAsia="zh-CN"/>
        </w:rPr>
        <w:t xml:space="preserve"> is used to reflect the LP-WUS power boosting. There are two main advantages by using this concept. On the one hand, considering that </w:t>
      </w:r>
      <w:r>
        <w:rPr>
          <w:rFonts w:eastAsia="宋体"/>
          <w:szCs w:val="24"/>
          <w:lang w:eastAsia="zh-CN"/>
        </w:rPr>
        <w:t xml:space="preserve">the average power over all REs </w:t>
      </w:r>
      <w:r>
        <w:rPr>
          <w:rFonts w:hint="eastAsia" w:eastAsia="宋体"/>
          <w:szCs w:val="24"/>
          <w:lang w:val="en-US" w:eastAsia="zh-CN"/>
        </w:rPr>
        <w:t>can be seen as the original average LP-WUS RE power and original average NR RE power, power dynamic range can reflect the boosted power of LP-WUS by original LP-WUS RE power and the deboosted power of NR by original NR RE power quite directly. LP-WUS power boosting and NR power deboosting are coupled. This power change compared to original power is exactly what we need to study. One the other hand, this concept is aligned with legacy concept for NB-IoT dynamic range/power boosting, which is friendly for manufactures to reuse some design for NB-IoT in LP-WUS.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szCs w:val="24"/>
          <w:lang w:val="en-US" w:eastAsia="zh-CN"/>
        </w:rPr>
      </w:pPr>
      <w:r>
        <w:rPr>
          <w:rFonts w:hint="eastAsia" w:eastAsia="宋体"/>
          <w:szCs w:val="24"/>
          <w:lang w:val="en-US" w:eastAsia="zh-CN"/>
        </w:rPr>
        <w:t>For Option 2, we agree that this concept also works, but the disadvantages do exist. On the one hand, the EPRE ratio can only reflect the difference between average LP-WUS RE power and average NR RE power. However, mostly this EPRE ratio is not our direct objective. What we really care about are how much power LP-WUS can be boosted, and at the same time how much power NR signal has to be deboosted. One of the reasons we need to limit LP-WUS power boosting is that the NR deboosting power should not be too high. EPRE ratio is a relative value while dynamic range works as an absolute value. One the other hand, as discussed above, using a new concept compared to legacy concept may bring unnecessary work.</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In conclusion, we prefer Option 1 as the concept of LP-WUS dynamic range/power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Use concept of LP-WUS dynamic range/power boosting in Option 1: </w:t>
      </w:r>
      <w:r>
        <w:rPr>
          <w:rFonts w:hint="default" w:ascii="Times New Roman" w:hAnsi="Times New Roman" w:cs="Times New Roman"/>
          <w:b/>
          <w:bCs w:val="0"/>
          <w:sz w:val="20"/>
          <w:szCs w:val="20"/>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2.2 Power Boosting of LP-WUS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RAN4 has achieved a consensus in RAN4#110bis meeting that the transmit power is shared between NR OFDM signal and NR LP-WUS for the same carrier and the total transmit power is fixed[3]. Therefore, most companies care about how much NR power deboosting can be accepted during the discussion in last meeting, and this is why RAN4 discussed whether to preclude small CBW.</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cs="Times New Roman"/>
          <w:b w:val="0"/>
          <w:bCs w:val="0"/>
          <w:i w:val="0"/>
          <w:iCs w:val="0"/>
          <w:sz w:val="20"/>
          <w:szCs w:val="20"/>
          <w:highlight w:val="none"/>
          <w:lang w:val="en-US" w:eastAsia="zh-CN"/>
        </w:rPr>
        <w:t xml:space="preserve">In our previous contribution [4], we have shown the power degradation of NR signal with different channel bandwidth </w:t>
      </w:r>
      <w:r>
        <w:rPr>
          <w:rFonts w:hint="eastAsia" w:eastAsia="Batang" w:cs="Times New Roman"/>
          <w:i w:val="0"/>
          <w:iCs w:val="0"/>
          <w:sz w:val="20"/>
          <w:szCs w:val="20"/>
          <w:lang w:val="en-US" w:eastAsia="zh-CN"/>
        </w:rPr>
        <w:t>when the power of LP-WUS is boosted by 3 dB and 6dB</w:t>
      </w:r>
      <w:r>
        <w:rPr>
          <w:rFonts w:hint="eastAsia" w:eastAsia="宋体"/>
          <w:lang w:val="en-US" w:eastAsia="zh-CN"/>
        </w:rPr>
        <w:t xml:space="preserve"> in Table 1, </w:t>
      </w:r>
      <w:r>
        <w:rPr>
          <w:rFonts w:hint="eastAsia" w:cs="Times New Roman"/>
          <w:b w:val="0"/>
          <w:bCs w:val="0"/>
          <w:i w:val="0"/>
          <w:iCs w:val="0"/>
          <w:sz w:val="20"/>
          <w:szCs w:val="20"/>
          <w:highlight w:val="none"/>
          <w:lang w:val="en-US" w:eastAsia="zh-CN"/>
        </w:rPr>
        <w:t>which is</w:t>
      </w:r>
      <w:r>
        <w:rPr>
          <w:rFonts w:hint="eastAsia" w:eastAsia="宋体"/>
          <w:lang w:val="en-US" w:eastAsia="zh-CN"/>
        </w:rPr>
        <w:t xml:space="preserve"> an important reference to determine LP-WUS power boosting level. Large NR power deboosting is unacceptable.</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rFonts w:hint="eastAsia" w:cs="Times New Roman"/>
          <w:i w:val="0"/>
          <w:iCs w:val="0"/>
          <w:sz w:val="20"/>
          <w:szCs w:val="20"/>
          <w:highlight w:val="none"/>
          <w:lang w:val="en-US" w:eastAsia="zh-CN"/>
        </w:rPr>
      </w:pPr>
      <w:r>
        <w:rPr>
          <w:rFonts w:hint="eastAsia" w:ascii="Times" w:hAnsi="Times" w:eastAsia="Batang"/>
          <w:b/>
          <w:bCs/>
          <w:i w:val="0"/>
          <w:iCs w:val="0"/>
          <w:sz w:val="20"/>
          <w:szCs w:val="20"/>
          <w:lang w:val="en-US" w:eastAsia="zh-CN"/>
        </w:rPr>
        <w:t>Table 1  T</w:t>
      </w:r>
      <w:r>
        <w:rPr>
          <w:rFonts w:hint="eastAsia" w:eastAsia="Batang" w:cs="Times New Roman"/>
          <w:b/>
          <w:bCs/>
          <w:i w:val="0"/>
          <w:iCs w:val="0"/>
          <w:sz w:val="20"/>
          <w:szCs w:val="20"/>
          <w:lang w:val="en-US" w:eastAsia="zh-CN"/>
        </w:rPr>
        <w:t>he power degradation of NR signal with different channel bandwidth</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937"/>
        <w:gridCol w:w="882"/>
        <w:gridCol w:w="767"/>
        <w:gridCol w:w="1080"/>
        <w:gridCol w:w="2025"/>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Declared BS</w:t>
            </w:r>
          </w:p>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power (dBm)</w:t>
            </w:r>
          </w:p>
        </w:tc>
        <w:tc>
          <w:tcPr>
            <w:tcW w:w="937" w:type="dxa"/>
            <w:vMerge w:val="restart"/>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CBW</w:t>
            </w:r>
          </w:p>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(MHz)</w:t>
            </w:r>
          </w:p>
        </w:tc>
        <w:tc>
          <w:tcPr>
            <w:tcW w:w="882" w:type="dxa"/>
            <w:vMerge w:val="restart"/>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SCS</w:t>
            </w:r>
          </w:p>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(kHz)</w:t>
            </w:r>
          </w:p>
        </w:tc>
        <w:tc>
          <w:tcPr>
            <w:tcW w:w="767" w:type="dxa"/>
            <w:vMerge w:val="restart"/>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N_RB</w:t>
            </w:r>
          </w:p>
        </w:tc>
        <w:tc>
          <w:tcPr>
            <w:tcW w:w="1080" w:type="dxa"/>
            <w:vMerge w:val="restart"/>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LP-WUS RB</w:t>
            </w:r>
          </w:p>
        </w:tc>
        <w:tc>
          <w:tcPr>
            <w:tcW w:w="4086" w:type="dxa"/>
            <w:gridSpan w:val="2"/>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NR power degradation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p>
        </w:tc>
        <w:tc>
          <w:tcPr>
            <w:tcW w:w="937"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p>
        </w:tc>
        <w:tc>
          <w:tcPr>
            <w:tcW w:w="882"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p>
        </w:tc>
        <w:tc>
          <w:tcPr>
            <w:tcW w:w="767"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p>
        </w:tc>
        <w:tc>
          <w:tcPr>
            <w:tcW w:w="1080"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b/>
                <w:bCs/>
                <w:i w:val="0"/>
                <w:iCs w:val="0"/>
                <w:sz w:val="18"/>
                <w:szCs w:val="18"/>
                <w:vertAlign w:val="baseline"/>
                <w:lang w:val="en-US" w:eastAsia="zh-CN"/>
              </w:rPr>
            </w:pPr>
            <w:r>
              <w:rPr>
                <w:rFonts w:hint="eastAsia" w:ascii="Times" w:hAnsi="Times" w:eastAsia="Batang"/>
                <w:b/>
                <w:bCs/>
                <w:i w:val="0"/>
                <w:iCs w:val="0"/>
                <w:sz w:val="18"/>
                <w:szCs w:val="18"/>
                <w:vertAlign w:val="baseline"/>
                <w:lang w:val="en-US" w:eastAsia="zh-CN"/>
              </w:rPr>
              <w:t>WUS Boosting 3dB</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cs="Times New Roman"/>
                <w:b/>
                <w:bCs/>
                <w:i w:val="0"/>
                <w:iCs w:val="0"/>
                <w:kern w:val="2"/>
                <w:sz w:val="18"/>
                <w:szCs w:val="18"/>
                <w:vertAlign w:val="baseline"/>
                <w:lang w:val="en-US" w:eastAsia="zh-CN" w:bidi="ar-SA"/>
              </w:rPr>
            </w:pPr>
            <w:r>
              <w:rPr>
                <w:rFonts w:hint="eastAsia" w:ascii="Times" w:hAnsi="Times" w:eastAsia="Batang"/>
                <w:b/>
                <w:bCs/>
                <w:i w:val="0"/>
                <w:iCs w:val="0"/>
                <w:sz w:val="18"/>
                <w:szCs w:val="18"/>
                <w:vertAlign w:val="baseline"/>
                <w:lang w:val="en-US" w:eastAsia="zh-CN"/>
              </w:rPr>
              <w:t>WUS Boosting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46</w:t>
            </w: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5</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25</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X</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52</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10.20</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79</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2.60</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106</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1.60</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25</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133</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1.10</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160</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0.77</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35</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188</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auto"/>
                <w:sz w:val="18"/>
                <w:szCs w:val="18"/>
                <w:vertAlign w:val="baseline"/>
                <w:lang w:val="en-US" w:eastAsia="zh-CN"/>
              </w:rPr>
            </w:pPr>
            <w:r>
              <w:rPr>
                <w:rFonts w:hint="eastAsia" w:ascii="Times" w:hAnsi="Times" w:eastAsia="Batang"/>
                <w:i w:val="0"/>
                <w:iCs w:val="0"/>
                <w:color w:val="auto"/>
                <w:sz w:val="18"/>
                <w:szCs w:val="18"/>
                <w:vertAlign w:val="baseline"/>
                <w:lang w:val="en-US" w:eastAsia="zh-CN"/>
              </w:rPr>
              <w:t>0.62</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color w:val="FF0000"/>
                <w:sz w:val="18"/>
                <w:szCs w:val="18"/>
                <w:vertAlign w:val="baseline"/>
                <w:lang w:val="en-US" w:eastAsia="zh-CN"/>
              </w:rPr>
            </w:pPr>
            <w:r>
              <w:rPr>
                <w:rFonts w:hint="eastAsia" w:ascii="Times" w:hAnsi="Times" w:eastAsia="Batang"/>
                <w:i w:val="0"/>
                <w:iCs w:val="0"/>
                <w:color w:val="auto"/>
                <w:sz w:val="18"/>
                <w:szCs w:val="18"/>
                <w:vertAlign w:val="baseline"/>
                <w:lang w:val="en-US" w:eastAsia="zh-CN"/>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40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216</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0.58</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45</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242</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0.48</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50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270</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0.45</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60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162</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0.39</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70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189</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0.29</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80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217</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0.27</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90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245</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0.21</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eastAsia" w:ascii="Times" w:hAnsi="Times" w:eastAsia="Batang"/>
                <w:i w:val="0"/>
                <w:iCs w:val="0"/>
                <w:sz w:val="18"/>
                <w:szCs w:val="18"/>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100</w:t>
            </w:r>
          </w:p>
        </w:tc>
        <w:tc>
          <w:tcPr>
            <w:tcW w:w="882"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273</w:t>
            </w:r>
          </w:p>
        </w:tc>
        <w:tc>
          <w:tcPr>
            <w:tcW w:w="1080"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0.19</w:t>
            </w:r>
          </w:p>
        </w:tc>
        <w:tc>
          <w:tcPr>
            <w:tcW w:w="2061" w:type="dxa"/>
            <w:vAlign w:val="center"/>
          </w:tcPr>
          <w:p>
            <w:pPr>
              <w:keepNext w:val="0"/>
              <w:keepLines w:val="0"/>
              <w:pageBreakBefore w:val="0"/>
              <w:widowControl/>
              <w:kinsoku/>
              <w:wordWrap/>
              <w:overflowPunct/>
              <w:topLinePunct w:val="0"/>
              <w:autoSpaceDE/>
              <w:autoSpaceDN/>
              <w:bidi w:val="0"/>
              <w:adjustRightInd/>
              <w:snapToGrid w:val="0"/>
              <w:spacing w:beforeLines="0" w:after="0" w:line="240" w:lineRule="auto"/>
              <w:jc w:val="center"/>
              <w:textAlignment w:val="auto"/>
              <w:rPr>
                <w:rFonts w:hint="default" w:ascii="Times" w:hAnsi="Times" w:eastAsia="Batang"/>
                <w:i w:val="0"/>
                <w:iCs w:val="0"/>
                <w:sz w:val="18"/>
                <w:szCs w:val="18"/>
                <w:vertAlign w:val="baseline"/>
                <w:lang w:val="en-US" w:eastAsia="zh-CN"/>
              </w:rPr>
            </w:pPr>
            <w:r>
              <w:rPr>
                <w:rFonts w:hint="eastAsia" w:ascii="Times" w:hAnsi="Times" w:eastAsia="Batang"/>
                <w:i w:val="0"/>
                <w:iCs w:val="0"/>
                <w:sz w:val="18"/>
                <w:szCs w:val="18"/>
                <w:vertAlign w:val="baseline"/>
                <w:lang w:val="en-US" w:eastAsia="zh-CN"/>
              </w:rPr>
              <w:t>0.62</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However, NR power deboosting is not the only factor that impacts LP-WUS power boosting level. Another important issue is that the location of LP-WUS RBs in the carrier may also impact the LP-WUS power boosting level in other aspects, such as out-of-band emissions (especially ACLR), which was not mentioned in last meeting.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b/>
          <w:bCs/>
          <w:lang w:val="en-US" w:eastAsia="zh-CN"/>
        </w:rPr>
        <w:t>Observation 1: NR power deboosting is not the only factor that impacts LP-WUS power boosting level. Another important issue is that the location of LP-WUS RBs in the carrier may also impact the LP-WUS power boosting level in other aspects, such as out-of-band emissions.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lang w:val="en-US" w:eastAsia="zh-CN"/>
        </w:rPr>
      </w:pPr>
      <w:r>
        <w:rPr>
          <w:rFonts w:hint="eastAsia" w:eastAsia="宋体"/>
          <w:lang w:val="en-US" w:eastAsia="zh-CN"/>
        </w:rPr>
        <w:t>In other words, it does not mean that wide CBW, e.g., 100MHz, can always support LP-WUS power boosting. Especially when LP-WUS is located at the edge of the carrier, the ACLR may deteriorate as shown in Fig 2. According to our preliminary simulation results, for 100MHz channel bandwidth, as LP-WUS power is boosted by 3dB and 6dB, ACLR will decrease about 2.0 dB and 4.4 dB, respectively. Thus, there is a risk of not meeting the ACLR requirement when the transmit power of LP-WUS is boosted.</w:t>
      </w:r>
    </w:p>
    <w:p>
      <w:pPr>
        <w:keepNext w:val="0"/>
        <w:keepLines w:val="0"/>
        <w:pageBreakBefore w:val="0"/>
        <w:widowControl/>
        <w:suppressLineNumbers w:val="0"/>
        <w:kinsoku/>
        <w:wordWrap/>
        <w:overflowPunct/>
        <w:topLinePunct w:val="0"/>
        <w:autoSpaceDE/>
        <w:autoSpaceDN/>
        <w:bidi w:val="0"/>
        <w:adjustRightInd/>
        <w:snapToGrid w:val="0"/>
        <w:spacing w:before="157" w:beforeLines="50" w:after="157" w:afterLines="50" w:line="240" w:lineRule="auto"/>
        <w:jc w:val="both"/>
        <w:textAlignment w:val="auto"/>
      </w:pPr>
    </w:p>
    <w:p>
      <w:pPr>
        <w:keepNext w:val="0"/>
        <w:keepLines w:val="0"/>
        <w:pageBreakBefore w:val="0"/>
        <w:widowControl/>
        <w:suppressLineNumbers w:val="0"/>
        <w:kinsoku/>
        <w:wordWrap/>
        <w:overflowPunct/>
        <w:topLinePunct w:val="0"/>
        <w:autoSpaceDE/>
        <w:autoSpaceDN/>
        <w:bidi w:val="0"/>
        <w:adjustRightInd/>
        <w:snapToGrid w:val="0"/>
        <w:spacing w:before="157" w:beforeLines="50" w:after="157" w:afterLines="50" w:line="240" w:lineRule="auto"/>
        <w:jc w:val="center"/>
        <w:textAlignment w:val="auto"/>
        <w:rPr>
          <w:rFonts w:ascii="宋体" w:hAnsi="宋体" w:eastAsia="宋体" w:cs="宋体"/>
          <w:kern w:val="0"/>
          <w:sz w:val="24"/>
          <w:szCs w:val="24"/>
          <w:lang w:val="en-US" w:eastAsia="zh-CN" w:bidi="ar"/>
        </w:rPr>
      </w:pPr>
      <w:r>
        <w:drawing>
          <wp:inline distT="0" distB="0" distL="114300" distR="114300">
            <wp:extent cx="3150870" cy="2543810"/>
            <wp:effectExtent l="0" t="0" r="3810"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3150870" cy="25438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2  The effect of LP-WUS power boosting on out-of-band emissions.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b/>
          <w:bCs/>
          <w:lang w:val="en-US" w:eastAsia="zh-CN"/>
        </w:rPr>
        <w:t>Observation 2: There is a risk of not meeting the ACLR requirement when WUS is located at edge of the carrier and the transmit power of LP-WUS is boosted.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lang w:val="en-US" w:eastAsia="zh-CN"/>
        </w:rPr>
        <w:t>Therefore, if a minimum LP-WUS power boosting level is defined without considering the location of LP-WUS, it may not work even for wide CBW. Besides, it is difficult to set different requirements for different cases, because the boundaries of different cases are vague.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 discussed above, the level of LP-WUS power boosting depends on BS implementation considering NR deboosting level (CBW) and out-of-band emissions (WUS location), and a minimum value requirement for LP-WUS power boosting can not be used in all the cases. Therefore, we propose to set the LP-WUS a complete manufacture declaration feature, including whether supporting LP-WUS power boosting and the boosting level supported. If so, a cap for LP-WUS power boosting is not needed.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Observation 3: A minimum value requirement for LP-WUS power boosting can not be used in all the cases and </w:t>
      </w:r>
      <w:r>
        <w:rPr>
          <w:rFonts w:hint="eastAsia" w:eastAsia="宋体"/>
          <w:b/>
          <w:bCs/>
          <w:lang w:val="en-US" w:eastAsia="zh-CN"/>
        </w:rPr>
        <w:t>it is difficult to set different requirements for different cases, because the boundaries of different cases are vague.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Not to set a minimum limitation or a maximum limitation for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Set the LP-WUS power boosting a complete manufacture declaration feature, including whether supporting LP-WUS power boosting and the supported boosting level.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2.3 </w:t>
      </w:r>
      <w:r>
        <w:rPr>
          <w:rFonts w:hint="eastAsia" w:ascii="Arial" w:hAnsi="Arial" w:cs="Arial"/>
          <w:b/>
          <w:bCs/>
          <w:i w:val="0"/>
          <w:iCs w:val="0"/>
          <w:sz w:val="22"/>
          <w:szCs w:val="22"/>
          <w:highlight w:val="none"/>
          <w:u w:val="none"/>
          <w:lang w:val="en-US" w:eastAsia="zh-CN"/>
        </w:rPr>
        <w:t>Other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 were several proposals to discuss requirements other than power boosting that should be considered as follows in last meeting[1].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c>
          <w:tcPr>
            <w:tcW w:w="9514" w:type="dxa"/>
            <w:shd w:val="clear" w:color="auto" w:fill="FFFFFF" w:themeFill="background1"/>
          </w:tcPr>
          <w:p>
            <w:pPr>
              <w:pStyle w:val="3"/>
              <w:keepLines w:val="0"/>
              <w:pageBreakBefore w:val="0"/>
              <w:kinsoku/>
              <w:wordWrap/>
              <w:overflowPunct/>
              <w:topLinePunct w:val="0"/>
              <w:autoSpaceDE/>
              <w:autoSpaceDN/>
              <w:bidi w:val="0"/>
              <w:adjustRightInd/>
              <w:snapToGrid w:val="0"/>
              <w:spacing w:before="0" w:after="157"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Requirements other than power boosting that should be considered</w:t>
            </w:r>
          </w:p>
          <w:p>
            <w:pPr>
              <w:pStyle w:val="31"/>
              <w:keepLines w:val="0"/>
              <w:pageBreakBefore w:val="0"/>
              <w:kinsoku/>
              <w:wordWrap/>
              <w:overflowPunct/>
              <w:topLinePunct w:val="0"/>
              <w:autoSpaceDE/>
              <w:autoSpaceDN/>
              <w:bidi w:val="0"/>
              <w:adjustRightInd/>
              <w:snapToGrid w:val="0"/>
              <w:spacing w:after="157" w:afterLines="50" w:line="240" w:lineRule="auto"/>
              <w:ind w:left="0" w:firstLine="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sz w:val="20"/>
                <w:szCs w:val="20"/>
                <w:lang w:eastAsia="zh-CN"/>
              </w:rPr>
              <w:t>FFS on the following proposals for next meeting:</w:t>
            </w:r>
            <w:r>
              <w:rPr>
                <w:rFonts w:hint="default" w:ascii="Times New Roman" w:hAnsi="Times New Roman" w:eastAsia="宋体" w:cs="Times New Roman"/>
                <w:color w:val="0070C0"/>
                <w:sz w:val="20"/>
                <w:szCs w:val="20"/>
                <w:lang w:eastAsia="zh-CN"/>
              </w:rPr>
              <w:t xml:space="preserve"> </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 Unwanted emissions requirements of SEM and spurious emissions should be considered for transmitted signal with LP-WUS and NR in the same carrier.</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2: FFS whether transmitted signal quality requirements should be defined for LP-WUS, at least for the EVM requirement.</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highlight w:val="none"/>
                <w:lang w:eastAsia="zh-CN"/>
              </w:rPr>
              <w:t>Proposal 3: Multi-band requirements at gNB side for LP-WUS.</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In our understanding, since LP-WUS is usually allocated within the NR carrier and transmitted together with NR signal, there is no need to set new output RF spectrum emission requirements for the mixed signal. Legacy output RF spectrum emission requirements for NR should be reused and should not be relaxed for the existence of LP-WUS, even with LP-WUS power boosting.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There is no need to set new output RF spectrum emission requirements for the mixed LP-WUS and NR signal. Legacy output RF spectrum emission requirements for NR should be reused and should not be relaxed for the existence of LP-WUS, even with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As for the transmit signal quality, first of all, same as output RF spectrum emissions, transmit signal quality requirement for NR should be kept with the existence of LP-WUS. For LP-WUS, based on the signal design in RAN1, LP-WUS information is contained in time-domain for envelope detection and time-domain correlation, and is contained in frequency-domain for frequency-domain correlation. While traditional Tx EVM is tested after FFT process as shown in Fig 3[6], which may not work for LP-WUS with envelope detection and time-domain correlation.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color w:val="auto"/>
          <w:sz w:val="20"/>
          <w:szCs w:val="20"/>
          <w:highlight w:val="none"/>
          <w:lang w:val="en-US" w:eastAsia="zh-CN"/>
        </w:rPr>
        <w:t>Therefore, RAN4 should further study how to evaluate transmission signal quality in time domain and/or in frequency domain. For example, for envelope detection, whether OOK energy precision needs to be required, for time-domain correlation, whether a new time-domain EVM requirement is needed, or for frequency-domain correlation, whether new EVM metric is needed.</w:t>
      </w:r>
    </w:p>
    <w:p>
      <w:pPr>
        <w:pStyle w:val="37"/>
      </w:pPr>
      <w:r>
        <w:drawing>
          <wp:inline distT="0" distB="0" distL="0" distR="0">
            <wp:extent cx="5857240" cy="1297305"/>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60335" name="Picture 1"/>
                    <pic:cNvPicPr>
                      <a:picLocks noChangeAspect="1" noChangeArrowheads="1"/>
                    </pic:cNvPicPr>
                  </pic:nvPicPr>
                  <pic:blipFill>
                    <a:blip r:embed="rId9">
                      <a:extLst>
                        <a:ext uri="{28A0092B-C50C-407E-A947-70E740481C1C}">
                          <a14:useLocalDpi xmlns:a14="http://schemas.microsoft.com/office/drawing/2010/main" val="0"/>
                        </a:ext>
                      </a:extLst>
                    </a:blip>
                    <a:srcRect t="11226" b="10195"/>
                    <a:stretch>
                      <a:fillRect/>
                    </a:stretch>
                  </pic:blipFill>
                  <pic:spPr>
                    <a:xfrm>
                      <a:off x="0" y="0"/>
                      <a:ext cx="5857240" cy="1297305"/>
                    </a:xfrm>
                    <a:prstGeom prst="rect">
                      <a:avLst/>
                    </a:prstGeom>
                    <a:noFill/>
                  </pic:spPr>
                </pic:pic>
              </a:graphicData>
            </a:graphic>
          </wp:inline>
        </w:drawing>
      </w:r>
    </w:p>
    <w:p>
      <w:pPr>
        <w:pStyle w:val="37"/>
        <w:keepNext/>
        <w:keepLines/>
        <w:pageBreakBefore w:val="0"/>
        <w:widowControl/>
        <w:kinsoku/>
        <w:wordWrap/>
        <w:overflowPunct/>
        <w:topLinePunct w:val="0"/>
        <w:autoSpaceDE/>
        <w:autoSpaceDN/>
        <w:bidi w:val="0"/>
        <w:adjustRightInd/>
        <w:snapToGrid w:val="0"/>
        <w:spacing w:before="0" w:after="157" w:afterLines="50" w:line="240" w:lineRule="auto"/>
        <w:textAlignment w:val="auto"/>
        <w:rPr>
          <w:rFonts w:hint="eastAsia" w:cs="Times New Roman"/>
          <w:b w:val="0"/>
          <w:bCs w:val="0"/>
          <w:i w:val="0"/>
          <w:iCs w:val="0"/>
          <w:sz w:val="20"/>
          <w:szCs w:val="20"/>
          <w:highlight w:val="none"/>
          <w:lang w:val="en-US" w:eastAsia="zh-CN"/>
        </w:rPr>
      </w:pPr>
      <w:r>
        <w:rPr>
          <w:rFonts w:hint="default" w:ascii="Times New Roman" w:hAnsi="Times New Roman" w:eastAsia="Osaka" w:cs="Times New Roman"/>
        </w:rPr>
        <w:t>Fig</w:t>
      </w:r>
      <w:r>
        <w:rPr>
          <w:rFonts w:hint="default" w:ascii="Times New Roman" w:hAnsi="Times New Roman" w:eastAsia="宋体" w:cs="Times New Roman"/>
          <w:lang w:val="en-US" w:eastAsia="zh-CN"/>
        </w:rPr>
        <w:t>.</w:t>
      </w:r>
      <w:r>
        <w:rPr>
          <w:rFonts w:hint="default" w:ascii="Times New Roman" w:hAnsi="Times New Roman" w:eastAsia="Osaka" w:cs="Times New Roman"/>
        </w:rPr>
        <w:t xml:space="preserve"> </w:t>
      </w:r>
      <w:r>
        <w:rPr>
          <w:rFonts w:hint="eastAsia" w:ascii="Times New Roman" w:hAnsi="Times New Roman" w:eastAsia="宋体" w:cs="Times New Roman"/>
          <w:lang w:val="en-US" w:eastAsia="zh-CN"/>
        </w:rPr>
        <w:t>3</w:t>
      </w:r>
      <w:r>
        <w:rPr>
          <w:rFonts w:hint="default" w:ascii="Times New Roman" w:hAnsi="Times New Roman" w:eastAsia="Osaka" w:cs="Times New Roma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Osaka" w:cs="Times New Roman"/>
        </w:rPr>
        <w:t>EVM measurement points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Observation 4: Traditional EVM requirements may not work for LP-WUS with envelope detection and time-domain correlation.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RAN4 should further study how to evaluate transmission signal quality in time domain and/or in frequency domain, e.g., OOK energy precision for envelope detection, for time-domain correlation, and frequency-domain EVM requirements for frequency-domain correlation.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w:t>
      </w:r>
      <w:r>
        <w:rPr>
          <w:rFonts w:hint="default" w:ascii="Arial" w:hAnsi="Arial" w:cs="Arial"/>
          <w:b/>
          <w:bCs/>
          <w:i w:val="0"/>
          <w:iCs w:val="0"/>
          <w:sz w:val="22"/>
          <w:szCs w:val="22"/>
          <w:highlight w:val="none"/>
          <w:u w:val="none"/>
          <w:lang w:val="en-US" w:eastAsia="zh-CN"/>
        </w:rPr>
        <w:t xml:space="preserve"> Applicable BS Types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discussed the applicable BS types to support LP-WUS and provided several proposals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
              <w:keepLines w:val="0"/>
              <w:pageBreakBefore w:val="0"/>
              <w:kinsoku/>
              <w:wordWrap/>
              <w:overflowPunct/>
              <w:topLinePunct w:val="0"/>
              <w:autoSpaceDE/>
              <w:autoSpaceDN/>
              <w:bidi w:val="0"/>
              <w:adjustRightInd/>
              <w:snapToGrid w:val="0"/>
              <w:spacing w:before="0" w:after="157"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On applicable BS type for LP-WUS</w:t>
            </w:r>
          </w:p>
          <w:p>
            <w:pPr>
              <w:pStyle w:val="31"/>
              <w:keepLines w:val="0"/>
              <w:pageBreakBefore w:val="0"/>
              <w:kinsoku/>
              <w:wordWrap/>
              <w:overflowPunct/>
              <w:topLinePunct w:val="0"/>
              <w:autoSpaceDE/>
              <w:autoSpaceDN/>
              <w:bidi w:val="0"/>
              <w:adjustRightInd/>
              <w:snapToGrid w:val="0"/>
              <w:spacing w:after="157" w:afterLines="50" w:line="240" w:lineRule="auto"/>
              <w:ind w:left="0" w:firstLine="0"/>
              <w:textAlignment w:val="auto"/>
              <w:rPr>
                <w:rFonts w:hint="default" w:ascii="Times New Roman" w:hAnsi="Times New Roman" w:cs="Times New Roman"/>
                <w:b/>
                <w:sz w:val="20"/>
                <w:szCs w:val="20"/>
                <w:lang w:eastAsia="zh-CN"/>
              </w:rPr>
            </w:pPr>
            <w:r>
              <w:rPr>
                <w:rFonts w:hint="default" w:ascii="Times New Roman" w:hAnsi="Times New Roman" w:eastAsia="宋体" w:cs="Times New Roman"/>
                <w:sz w:val="20"/>
                <w:szCs w:val="20"/>
                <w:lang w:eastAsia="zh-CN"/>
              </w:rPr>
              <w:t>FFS on the following proposals for next meeting:</w:t>
            </w:r>
            <w:r>
              <w:rPr>
                <w:rFonts w:hint="default" w:ascii="Times New Roman" w:hAnsi="Times New Roman" w:eastAsia="宋体" w:cs="Times New Roman"/>
                <w:color w:val="0070C0"/>
                <w:sz w:val="20"/>
                <w:szCs w:val="20"/>
                <w:lang w:eastAsia="zh-CN"/>
              </w:rPr>
              <w:t xml:space="preserve"> </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 Not to set restriction on applicable BS types to support LP-WUS.</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2: To decide on the applicable BS types after the applicable frequency range and bands for LP-WUS have been decided.</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highlight w:val="none"/>
                <w:lang w:eastAsia="zh-CN"/>
              </w:rPr>
              <w:t>Proposal 3:</w:t>
            </w:r>
            <w:r>
              <w:rPr>
                <w:rFonts w:hint="default" w:ascii="Times New Roman" w:hAnsi="Times New Roman" w:eastAsia="宋体" w:cs="Times New Roman"/>
                <w:sz w:val="20"/>
                <w:szCs w:val="20"/>
                <w:lang w:eastAsia="zh-CN"/>
              </w:rPr>
              <w:t xml:space="preserve"> Consider BS type 1-C as applicable type to further discuss of LP-WUS power boosting. FFS other BS types.</w:t>
            </w:r>
          </w:p>
          <w:p>
            <w:pPr>
              <w:pStyle w:val="29"/>
              <w:keepLines w:val="0"/>
              <w:pageBreakBefore w:val="0"/>
              <w:numPr>
                <w:ilvl w:val="0"/>
                <w:numId w:val="5"/>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4: Depend on power boosting level for certain BS type.</w:t>
            </w:r>
          </w:p>
          <w:p>
            <w:pPr>
              <w:pStyle w:val="29"/>
              <w:keepLines w:val="0"/>
              <w:pageBreakBefore w:val="0"/>
              <w:numPr>
                <w:ilvl w:val="1"/>
                <w:numId w:val="5"/>
              </w:numPr>
              <w:kinsoku/>
              <w:wordWrap/>
              <w:overflowPunct/>
              <w:topLinePunct w:val="0"/>
              <w:autoSpaceDE/>
              <w:autoSpaceDN/>
              <w:bidi w:val="0"/>
              <w:adjustRightInd/>
              <w:snapToGrid w:val="0"/>
              <w:spacing w:after="157" w:afterLines="5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If power boosting is limited to 3 dB, all BS type 1-C, 1-H and 1-O can be considered.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Currently in TS38.104, only BS Type 1-C supports NR with in-band NB-IoT operation. BS Type 1-H and BS Type 1-O are excluded considering the power consumption issues. When it comes to LP-WUS, similar issues exist. In this case, we prefer to consider BS Type 1-C as applicable type and FFS other types.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Propose to use BS Type 1-C as applicable BS type.</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eastAsia="宋体"/>
          <w:b/>
          <w:bCs/>
          <w:lang w:val="en-US" w:eastAsia="zh-CN"/>
        </w:rPr>
        <w:t>Observation 1: NR power deboosting is not the only factor that impacts LP-WUS power boosting level. Another important issue is that the location of LP-WUS RBs in the carrier may also impact the LP-WUS power boosting level in other aspects, such as out-of-band emissions.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eastAsia="宋体"/>
          <w:b/>
          <w:bCs/>
          <w:lang w:val="en-US" w:eastAsia="zh-CN"/>
        </w:rPr>
        <w:t>Observation 2: There is a risk of not meeting the ACLR requirement when WUS is located at edge of the carrier and the transmit power of LP-WUS is boosted.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cs="Times New Roman"/>
          <w:b/>
          <w:bCs/>
          <w:i w:val="0"/>
          <w:iCs w:val="0"/>
          <w:sz w:val="20"/>
          <w:szCs w:val="20"/>
          <w:highlight w:val="none"/>
          <w:lang w:val="en-US" w:eastAsia="zh-CN"/>
        </w:rPr>
        <w:t xml:space="preserve">Observation 3: A minimum value requirement for LP-WUS power boosting can not be used in all the cases and </w:t>
      </w:r>
      <w:r>
        <w:rPr>
          <w:rFonts w:hint="eastAsia" w:eastAsia="宋体"/>
          <w:b/>
          <w:bCs/>
          <w:lang w:val="en-US" w:eastAsia="zh-CN"/>
        </w:rPr>
        <w:t>it is difficult to set different requirements for different cases, because the boundaries of different cases are vague.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highlight w:val="none"/>
          <w:lang w:val="en-US" w:eastAsia="zh-CN"/>
        </w:rPr>
      </w:pPr>
      <w:r>
        <w:rPr>
          <w:rFonts w:hint="eastAsia" w:cs="Times New Roman"/>
          <w:b/>
          <w:bCs/>
          <w:i w:val="0"/>
          <w:iCs w:val="0"/>
          <w:sz w:val="20"/>
          <w:szCs w:val="20"/>
          <w:highlight w:val="none"/>
          <w:lang w:val="en-US" w:eastAsia="zh-CN"/>
        </w:rPr>
        <w:t>Observation 4: Traditional EVM requirements may not work for LP-WUS with envelope detection and time-domain correlation.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val="0"/>
          <w:sz w:val="20"/>
          <w:szCs w:val="20"/>
          <w:lang w:eastAsia="zh-CN"/>
        </w:rPr>
      </w:pPr>
      <w:r>
        <w:rPr>
          <w:rFonts w:hint="eastAsia"/>
          <w:b/>
          <w:bCs w:val="0"/>
          <w:i w:val="0"/>
          <w:iCs w:val="0"/>
          <w:color w:val="auto"/>
          <w:kern w:val="0"/>
          <w:sz w:val="20"/>
          <w:szCs w:val="20"/>
          <w:highlight w:val="none"/>
          <w:vertAlign w:val="baseline"/>
          <w:lang w:val="en-US" w:eastAsia="zh-CN"/>
        </w:rPr>
        <w:t xml:space="preserve">Proposal 1: Use concept of LP-WUS dynamic range/power boosting in Option 1: </w:t>
      </w:r>
      <w:r>
        <w:rPr>
          <w:rFonts w:hint="default" w:ascii="Times New Roman" w:hAnsi="Times New Roman" w:cs="Times New Roman"/>
          <w:b/>
          <w:bCs w:val="0"/>
          <w:sz w:val="20"/>
          <w:szCs w:val="20"/>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Not to set a minimum limitation or a maximum limitation for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Set the LP-WUS power boosting a complete manufacture declaration feature, including whether supporting LP-WUS power boosting and the supported boosting level.</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There is no need to set new output RF spectrum emission requirements for the mixed LP-WUS and NR signal. Legacy output RF spectrum emission requirements for NR should be reused and should not be relaxed for the existence of LP-WUS, even with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RAN4 should further study how to evaluate transmission signal quality in time domain and/or in frequency domain, e.g., OOK energy precision for envelope detection, for time-domain correlation, and frequency-domain EVM requirements for frequency-domain correlation.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Propose to use BS Type 1-C as applicable BS type.</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ascii="Times New Roman" w:hAnsi="Times New Roman"/>
          <w:sz w:val="20"/>
          <w:szCs w:val="20"/>
        </w:rPr>
      </w:pPr>
      <w:r>
        <w:rPr>
          <w:rFonts w:hint="eastAsia"/>
          <w:sz w:val="20"/>
          <w:szCs w:val="20"/>
          <w:lang w:val="en-US" w:eastAsia="zh-CN"/>
        </w:rPr>
        <w:t>R4-2409956 Way Forward for [111][314] NR_LPWUS, RAN4#111, Fukuoka, Japan, May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R4-2407547 On BS RF requirements for LP-WUS/LP-WUR, CATT, RAN4#111, Fukuoka, Japan, May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R4-2406140 Way Forward for [110bis][314] NR_LPWUS, RAN4#110bis, Changsha, China, Apr.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R4-2405120 </w:t>
      </w:r>
      <w:r>
        <w:rPr>
          <w:rFonts w:hint="default"/>
          <w:sz w:val="20"/>
          <w:szCs w:val="20"/>
          <w:lang w:val="en-US" w:eastAsia="zh-CN"/>
        </w:rPr>
        <w:t>Discussion on</w:t>
      </w:r>
      <w:r>
        <w:rPr>
          <w:rFonts w:hint="eastAsia"/>
          <w:sz w:val="20"/>
          <w:szCs w:val="20"/>
          <w:lang w:val="en-US" w:eastAsia="zh-CN"/>
        </w:rPr>
        <w:t xml:space="preserve"> BS RF requirements for LP-WUS/WUR, RAN4#110bis, ZTE, Changsha, China, Apr.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R4-2410569 WF for [111][136] NR_LPWUS_UERF, RAN4#111, Fukuoka, Japan, May 2024.</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 38.101-1, v18.6.0</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New York">
    <w:altName w:val="Times New Roman"/>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6B51819"/>
    <w:multiLevelType w:val="multilevel"/>
    <w:tmpl w:val="56B51819"/>
    <w:lvl w:ilvl="0" w:tentative="0">
      <w:start w:val="1"/>
      <w:numFmt w:val="bullet"/>
      <w:lvlText w:val="•"/>
      <w:lvlJc w:val="left"/>
      <w:pPr>
        <w:ind w:left="420" w:hanging="420"/>
      </w:pPr>
      <w:rPr>
        <w:rFonts w:hint="default" w:ascii="Arial" w:hAnsi="Arial"/>
      </w:rPr>
    </w:lvl>
    <w:lvl w:ilvl="1" w:tentative="0">
      <w:start w:val="2"/>
      <w:numFmt w:val="bullet"/>
      <w:lvlText w:val="-"/>
      <w:lvlJc w:val="left"/>
      <w:pPr>
        <w:ind w:left="840" w:hanging="420"/>
      </w:pPr>
      <w:rPr>
        <w:rFonts w:hint="eastAsia" w:ascii="New York" w:hAnsi="New York" w:eastAsia="New York" w:cs="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4A946AD"/>
    <w:multiLevelType w:val="multilevel"/>
    <w:tmpl w:val="74A946A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E0556"/>
    <w:rsid w:val="02FE5F82"/>
    <w:rsid w:val="03056101"/>
    <w:rsid w:val="030F2294"/>
    <w:rsid w:val="03256F39"/>
    <w:rsid w:val="032D5AEE"/>
    <w:rsid w:val="03311F41"/>
    <w:rsid w:val="03334B44"/>
    <w:rsid w:val="033F2E50"/>
    <w:rsid w:val="034C5F4E"/>
    <w:rsid w:val="035C5E5E"/>
    <w:rsid w:val="036F028C"/>
    <w:rsid w:val="0383140E"/>
    <w:rsid w:val="03A05508"/>
    <w:rsid w:val="03AB67DC"/>
    <w:rsid w:val="03AD2FC5"/>
    <w:rsid w:val="03B82CC7"/>
    <w:rsid w:val="03C77456"/>
    <w:rsid w:val="03CB41C8"/>
    <w:rsid w:val="03DA6915"/>
    <w:rsid w:val="04144F59"/>
    <w:rsid w:val="04156C27"/>
    <w:rsid w:val="042221BB"/>
    <w:rsid w:val="042B1DF5"/>
    <w:rsid w:val="043D2559"/>
    <w:rsid w:val="045D198A"/>
    <w:rsid w:val="046824A8"/>
    <w:rsid w:val="0478015E"/>
    <w:rsid w:val="04865F4C"/>
    <w:rsid w:val="049C47B9"/>
    <w:rsid w:val="04B43FA7"/>
    <w:rsid w:val="04BF26EE"/>
    <w:rsid w:val="04D16755"/>
    <w:rsid w:val="04D20004"/>
    <w:rsid w:val="04E54CF2"/>
    <w:rsid w:val="04EB6A3A"/>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FF0D9C"/>
    <w:rsid w:val="062937AB"/>
    <w:rsid w:val="062941CA"/>
    <w:rsid w:val="062A620F"/>
    <w:rsid w:val="063661E5"/>
    <w:rsid w:val="06410604"/>
    <w:rsid w:val="064B00B0"/>
    <w:rsid w:val="065C3A1D"/>
    <w:rsid w:val="06654A0B"/>
    <w:rsid w:val="06686223"/>
    <w:rsid w:val="06823D8F"/>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A5F1C"/>
    <w:rsid w:val="07521F93"/>
    <w:rsid w:val="07622262"/>
    <w:rsid w:val="078F46FE"/>
    <w:rsid w:val="0793078D"/>
    <w:rsid w:val="07970803"/>
    <w:rsid w:val="07A9337A"/>
    <w:rsid w:val="07AB0366"/>
    <w:rsid w:val="07BA2D18"/>
    <w:rsid w:val="07BF78DC"/>
    <w:rsid w:val="07CC6B65"/>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C0C5682"/>
    <w:rsid w:val="0C1D57F9"/>
    <w:rsid w:val="0C684AC1"/>
    <w:rsid w:val="0C7962B1"/>
    <w:rsid w:val="0C7A666C"/>
    <w:rsid w:val="0C7D5162"/>
    <w:rsid w:val="0C867BFF"/>
    <w:rsid w:val="0C953742"/>
    <w:rsid w:val="0CA242EA"/>
    <w:rsid w:val="0CB10B0C"/>
    <w:rsid w:val="0CB30E04"/>
    <w:rsid w:val="0CB6043F"/>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F721A8"/>
    <w:rsid w:val="0FFA1150"/>
    <w:rsid w:val="10265FA2"/>
    <w:rsid w:val="10490BAD"/>
    <w:rsid w:val="106C0466"/>
    <w:rsid w:val="108F05CA"/>
    <w:rsid w:val="109241A4"/>
    <w:rsid w:val="109615A9"/>
    <w:rsid w:val="109658C1"/>
    <w:rsid w:val="10A81A96"/>
    <w:rsid w:val="10C9379F"/>
    <w:rsid w:val="10D6699E"/>
    <w:rsid w:val="10E63E4A"/>
    <w:rsid w:val="11104883"/>
    <w:rsid w:val="11291D63"/>
    <w:rsid w:val="112D72C6"/>
    <w:rsid w:val="113F3856"/>
    <w:rsid w:val="11683FF9"/>
    <w:rsid w:val="118038D3"/>
    <w:rsid w:val="118C0750"/>
    <w:rsid w:val="119229CC"/>
    <w:rsid w:val="11A50508"/>
    <w:rsid w:val="11A63D04"/>
    <w:rsid w:val="11FD3DC0"/>
    <w:rsid w:val="120639A8"/>
    <w:rsid w:val="12121726"/>
    <w:rsid w:val="122250B4"/>
    <w:rsid w:val="123E5A4F"/>
    <w:rsid w:val="12447798"/>
    <w:rsid w:val="125D4125"/>
    <w:rsid w:val="12771554"/>
    <w:rsid w:val="127B3BB4"/>
    <w:rsid w:val="12AA1F62"/>
    <w:rsid w:val="12AE4121"/>
    <w:rsid w:val="12B51A8D"/>
    <w:rsid w:val="12B63F3E"/>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F672DD"/>
    <w:rsid w:val="13FB7B95"/>
    <w:rsid w:val="13FF44D4"/>
    <w:rsid w:val="140A2CA4"/>
    <w:rsid w:val="140C5848"/>
    <w:rsid w:val="1415743A"/>
    <w:rsid w:val="141B497D"/>
    <w:rsid w:val="1423329C"/>
    <w:rsid w:val="14480142"/>
    <w:rsid w:val="144E5CD4"/>
    <w:rsid w:val="145B0E4C"/>
    <w:rsid w:val="145F0D59"/>
    <w:rsid w:val="1483457B"/>
    <w:rsid w:val="14907687"/>
    <w:rsid w:val="14933D0B"/>
    <w:rsid w:val="14976030"/>
    <w:rsid w:val="149B6760"/>
    <w:rsid w:val="149D2922"/>
    <w:rsid w:val="14BF7340"/>
    <w:rsid w:val="14CA4A78"/>
    <w:rsid w:val="14D5440D"/>
    <w:rsid w:val="14D87DF4"/>
    <w:rsid w:val="14F13DA6"/>
    <w:rsid w:val="14FF6FC2"/>
    <w:rsid w:val="15060BB2"/>
    <w:rsid w:val="150824BE"/>
    <w:rsid w:val="15220493"/>
    <w:rsid w:val="15222491"/>
    <w:rsid w:val="15286C92"/>
    <w:rsid w:val="153C7D33"/>
    <w:rsid w:val="15525599"/>
    <w:rsid w:val="155C1FAD"/>
    <w:rsid w:val="156063FA"/>
    <w:rsid w:val="156F1F39"/>
    <w:rsid w:val="157674F6"/>
    <w:rsid w:val="157A419A"/>
    <w:rsid w:val="158270AF"/>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A7F3C"/>
    <w:rsid w:val="188A0D46"/>
    <w:rsid w:val="188D7449"/>
    <w:rsid w:val="189553E8"/>
    <w:rsid w:val="189A62E8"/>
    <w:rsid w:val="18AC426F"/>
    <w:rsid w:val="18D76F2C"/>
    <w:rsid w:val="18EF4764"/>
    <w:rsid w:val="18F062F7"/>
    <w:rsid w:val="18F279A0"/>
    <w:rsid w:val="191372F1"/>
    <w:rsid w:val="191F2375"/>
    <w:rsid w:val="192A6B82"/>
    <w:rsid w:val="192A78E5"/>
    <w:rsid w:val="192C06DB"/>
    <w:rsid w:val="19412402"/>
    <w:rsid w:val="19607D81"/>
    <w:rsid w:val="19640C89"/>
    <w:rsid w:val="196B73C9"/>
    <w:rsid w:val="197D1DB8"/>
    <w:rsid w:val="199503FD"/>
    <w:rsid w:val="19A45D24"/>
    <w:rsid w:val="19AF5CF6"/>
    <w:rsid w:val="19C63D4F"/>
    <w:rsid w:val="19C65E12"/>
    <w:rsid w:val="19C735BB"/>
    <w:rsid w:val="19DA3A4C"/>
    <w:rsid w:val="19E63640"/>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D34730"/>
    <w:rsid w:val="1BDF455D"/>
    <w:rsid w:val="1BEE6734"/>
    <w:rsid w:val="1C1A373E"/>
    <w:rsid w:val="1C1D5D24"/>
    <w:rsid w:val="1C297CFC"/>
    <w:rsid w:val="1C2E07C6"/>
    <w:rsid w:val="1C3571F6"/>
    <w:rsid w:val="1C3672FA"/>
    <w:rsid w:val="1C3A751E"/>
    <w:rsid w:val="1C423FC4"/>
    <w:rsid w:val="1C47233F"/>
    <w:rsid w:val="1C5D00DA"/>
    <w:rsid w:val="1C7D0C1A"/>
    <w:rsid w:val="1C7E2DD6"/>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752FA6"/>
    <w:rsid w:val="1ECF1323"/>
    <w:rsid w:val="1ECF4A99"/>
    <w:rsid w:val="1ED12C2B"/>
    <w:rsid w:val="1EDC33BC"/>
    <w:rsid w:val="1EF72D37"/>
    <w:rsid w:val="1F211865"/>
    <w:rsid w:val="1F295D72"/>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C064C"/>
    <w:rsid w:val="205164A7"/>
    <w:rsid w:val="206D4243"/>
    <w:rsid w:val="20707670"/>
    <w:rsid w:val="207714C5"/>
    <w:rsid w:val="207B590B"/>
    <w:rsid w:val="2090238B"/>
    <w:rsid w:val="209A2CD8"/>
    <w:rsid w:val="20A434B3"/>
    <w:rsid w:val="20AB0E60"/>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1FF7518"/>
    <w:rsid w:val="2214054C"/>
    <w:rsid w:val="221703FC"/>
    <w:rsid w:val="222A0690"/>
    <w:rsid w:val="222A56CF"/>
    <w:rsid w:val="22305995"/>
    <w:rsid w:val="225216B5"/>
    <w:rsid w:val="225E20C5"/>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38587A"/>
    <w:rsid w:val="24386853"/>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D16230"/>
    <w:rsid w:val="26D609E2"/>
    <w:rsid w:val="26DE1868"/>
    <w:rsid w:val="26ED14DB"/>
    <w:rsid w:val="270F3C75"/>
    <w:rsid w:val="27157D13"/>
    <w:rsid w:val="27501DD7"/>
    <w:rsid w:val="27543CE2"/>
    <w:rsid w:val="276136D1"/>
    <w:rsid w:val="2766357B"/>
    <w:rsid w:val="276F3F63"/>
    <w:rsid w:val="27814FF8"/>
    <w:rsid w:val="27885693"/>
    <w:rsid w:val="278E4856"/>
    <w:rsid w:val="27930B1B"/>
    <w:rsid w:val="27944036"/>
    <w:rsid w:val="279A6599"/>
    <w:rsid w:val="27A4419F"/>
    <w:rsid w:val="27A931B8"/>
    <w:rsid w:val="27AB7AFD"/>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C74C47"/>
    <w:rsid w:val="29CD4516"/>
    <w:rsid w:val="29E94589"/>
    <w:rsid w:val="2A155F81"/>
    <w:rsid w:val="2A1E2DE0"/>
    <w:rsid w:val="2A250847"/>
    <w:rsid w:val="2A2B222C"/>
    <w:rsid w:val="2A331695"/>
    <w:rsid w:val="2A442E66"/>
    <w:rsid w:val="2A4A1ED4"/>
    <w:rsid w:val="2A553548"/>
    <w:rsid w:val="2A7049D1"/>
    <w:rsid w:val="2A970008"/>
    <w:rsid w:val="2AA60E99"/>
    <w:rsid w:val="2AAE5692"/>
    <w:rsid w:val="2AB04251"/>
    <w:rsid w:val="2AB04D93"/>
    <w:rsid w:val="2ABE7215"/>
    <w:rsid w:val="2AC7659F"/>
    <w:rsid w:val="2AD76897"/>
    <w:rsid w:val="2ADB482F"/>
    <w:rsid w:val="2AE01B62"/>
    <w:rsid w:val="2AE558B3"/>
    <w:rsid w:val="2AE8229B"/>
    <w:rsid w:val="2AE92316"/>
    <w:rsid w:val="2AEC42E5"/>
    <w:rsid w:val="2AED4F27"/>
    <w:rsid w:val="2B034D47"/>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EB375B"/>
    <w:rsid w:val="2BEB41DF"/>
    <w:rsid w:val="2BFB0E99"/>
    <w:rsid w:val="2C07332F"/>
    <w:rsid w:val="2C0C4D11"/>
    <w:rsid w:val="2C1A5D63"/>
    <w:rsid w:val="2C2907BF"/>
    <w:rsid w:val="2C2A3701"/>
    <w:rsid w:val="2C3E1BC4"/>
    <w:rsid w:val="2C5A1C73"/>
    <w:rsid w:val="2C5A6041"/>
    <w:rsid w:val="2C7208C6"/>
    <w:rsid w:val="2C80477B"/>
    <w:rsid w:val="2C852D34"/>
    <w:rsid w:val="2C8F4F35"/>
    <w:rsid w:val="2CA73FE3"/>
    <w:rsid w:val="2CAD6FE3"/>
    <w:rsid w:val="2CC91D44"/>
    <w:rsid w:val="2CD46AFB"/>
    <w:rsid w:val="2CDC2898"/>
    <w:rsid w:val="2CE15438"/>
    <w:rsid w:val="2CF86901"/>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26750E"/>
    <w:rsid w:val="2E2701FF"/>
    <w:rsid w:val="2E273353"/>
    <w:rsid w:val="2E2D216F"/>
    <w:rsid w:val="2E3C11DA"/>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57565"/>
    <w:rsid w:val="31F27F9B"/>
    <w:rsid w:val="31F72F19"/>
    <w:rsid w:val="32127335"/>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B2596A"/>
    <w:rsid w:val="33BF1A0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6C2BDC"/>
    <w:rsid w:val="346F0383"/>
    <w:rsid w:val="34704206"/>
    <w:rsid w:val="347A4842"/>
    <w:rsid w:val="347C1F8E"/>
    <w:rsid w:val="349A14CC"/>
    <w:rsid w:val="349E15E4"/>
    <w:rsid w:val="349E4539"/>
    <w:rsid w:val="349E7311"/>
    <w:rsid w:val="34AC3B1F"/>
    <w:rsid w:val="34DB4489"/>
    <w:rsid w:val="34E63221"/>
    <w:rsid w:val="34EA3595"/>
    <w:rsid w:val="34F31159"/>
    <w:rsid w:val="34F61BA3"/>
    <w:rsid w:val="35015811"/>
    <w:rsid w:val="35045109"/>
    <w:rsid w:val="35063773"/>
    <w:rsid w:val="350C0171"/>
    <w:rsid w:val="35314625"/>
    <w:rsid w:val="35544143"/>
    <w:rsid w:val="3557388E"/>
    <w:rsid w:val="35684E72"/>
    <w:rsid w:val="357201A0"/>
    <w:rsid w:val="35830EE1"/>
    <w:rsid w:val="35AE4747"/>
    <w:rsid w:val="35C64805"/>
    <w:rsid w:val="35D34EB8"/>
    <w:rsid w:val="35D43768"/>
    <w:rsid w:val="35E71299"/>
    <w:rsid w:val="35E72F09"/>
    <w:rsid w:val="35F26505"/>
    <w:rsid w:val="35FD0561"/>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C3034A"/>
    <w:rsid w:val="37CC5E94"/>
    <w:rsid w:val="37D664EB"/>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74FFC"/>
    <w:rsid w:val="39485EE8"/>
    <w:rsid w:val="39A12E64"/>
    <w:rsid w:val="39AC270E"/>
    <w:rsid w:val="39BC72AB"/>
    <w:rsid w:val="39BF0DA5"/>
    <w:rsid w:val="39E030FB"/>
    <w:rsid w:val="39E551C2"/>
    <w:rsid w:val="3A004EFB"/>
    <w:rsid w:val="3A1D668F"/>
    <w:rsid w:val="3A280D85"/>
    <w:rsid w:val="3A5C417E"/>
    <w:rsid w:val="3A651C7C"/>
    <w:rsid w:val="3A7473B8"/>
    <w:rsid w:val="3A8C19A6"/>
    <w:rsid w:val="3A985F9F"/>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4A7007"/>
    <w:rsid w:val="3C5A7C30"/>
    <w:rsid w:val="3C7A34E1"/>
    <w:rsid w:val="3C857E1F"/>
    <w:rsid w:val="3C8B2EA4"/>
    <w:rsid w:val="3C98267C"/>
    <w:rsid w:val="3C9A76B6"/>
    <w:rsid w:val="3CA02F85"/>
    <w:rsid w:val="3CA30E32"/>
    <w:rsid w:val="3CA75790"/>
    <w:rsid w:val="3CAE115E"/>
    <w:rsid w:val="3CB6404C"/>
    <w:rsid w:val="3CC85F33"/>
    <w:rsid w:val="3CCB3008"/>
    <w:rsid w:val="3CFE0386"/>
    <w:rsid w:val="3CFE449C"/>
    <w:rsid w:val="3D004F11"/>
    <w:rsid w:val="3D005676"/>
    <w:rsid w:val="3D0970C8"/>
    <w:rsid w:val="3D145266"/>
    <w:rsid w:val="3D230EF3"/>
    <w:rsid w:val="3D42795C"/>
    <w:rsid w:val="3D5A19A0"/>
    <w:rsid w:val="3D5D4541"/>
    <w:rsid w:val="3D606F86"/>
    <w:rsid w:val="3D6F2596"/>
    <w:rsid w:val="3D753E3B"/>
    <w:rsid w:val="3D7961D3"/>
    <w:rsid w:val="3D8F6A91"/>
    <w:rsid w:val="3DAD0C31"/>
    <w:rsid w:val="3DBC7DE5"/>
    <w:rsid w:val="3DC16634"/>
    <w:rsid w:val="3DCB2FFC"/>
    <w:rsid w:val="3DCC4627"/>
    <w:rsid w:val="3DD00AF4"/>
    <w:rsid w:val="3DD16176"/>
    <w:rsid w:val="3DD7787E"/>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38AE"/>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091D0E"/>
    <w:rsid w:val="40273EB3"/>
    <w:rsid w:val="402A0BEC"/>
    <w:rsid w:val="40332164"/>
    <w:rsid w:val="40385E0C"/>
    <w:rsid w:val="403917EB"/>
    <w:rsid w:val="404F7A6B"/>
    <w:rsid w:val="40592A16"/>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878B4"/>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4A394A"/>
    <w:rsid w:val="494C1910"/>
    <w:rsid w:val="49500FEB"/>
    <w:rsid w:val="49751781"/>
    <w:rsid w:val="4976679A"/>
    <w:rsid w:val="4982678C"/>
    <w:rsid w:val="49982D33"/>
    <w:rsid w:val="499F4C2E"/>
    <w:rsid w:val="49C4340C"/>
    <w:rsid w:val="49C4368E"/>
    <w:rsid w:val="49C46503"/>
    <w:rsid w:val="49DD7EFB"/>
    <w:rsid w:val="49E077A2"/>
    <w:rsid w:val="49F32E1B"/>
    <w:rsid w:val="49F36AE3"/>
    <w:rsid w:val="49FF1C1E"/>
    <w:rsid w:val="4A0B7057"/>
    <w:rsid w:val="4A280667"/>
    <w:rsid w:val="4A325FE0"/>
    <w:rsid w:val="4A3845D4"/>
    <w:rsid w:val="4A451A03"/>
    <w:rsid w:val="4A495F41"/>
    <w:rsid w:val="4A511B6E"/>
    <w:rsid w:val="4A59738B"/>
    <w:rsid w:val="4A7C4548"/>
    <w:rsid w:val="4A863BCC"/>
    <w:rsid w:val="4A8E1463"/>
    <w:rsid w:val="4AB043A7"/>
    <w:rsid w:val="4AC15779"/>
    <w:rsid w:val="4AD202C9"/>
    <w:rsid w:val="4ADE2C90"/>
    <w:rsid w:val="4AEE473A"/>
    <w:rsid w:val="4AF03277"/>
    <w:rsid w:val="4B2A6621"/>
    <w:rsid w:val="4B354AAC"/>
    <w:rsid w:val="4B3D6072"/>
    <w:rsid w:val="4B3F449C"/>
    <w:rsid w:val="4B5B5B93"/>
    <w:rsid w:val="4B7606DB"/>
    <w:rsid w:val="4B7F2D98"/>
    <w:rsid w:val="4B850E6F"/>
    <w:rsid w:val="4B8D7E6C"/>
    <w:rsid w:val="4B901389"/>
    <w:rsid w:val="4B986207"/>
    <w:rsid w:val="4B987896"/>
    <w:rsid w:val="4B9969CA"/>
    <w:rsid w:val="4BA04F33"/>
    <w:rsid w:val="4BC05ECF"/>
    <w:rsid w:val="4BD05051"/>
    <w:rsid w:val="4BD505B4"/>
    <w:rsid w:val="4BE44723"/>
    <w:rsid w:val="4BF54BAD"/>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5B4AF3"/>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1836CB"/>
    <w:rsid w:val="51394C04"/>
    <w:rsid w:val="513C5648"/>
    <w:rsid w:val="515143AB"/>
    <w:rsid w:val="515A17DC"/>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840D9F"/>
    <w:rsid w:val="52963B66"/>
    <w:rsid w:val="529C732E"/>
    <w:rsid w:val="52A07902"/>
    <w:rsid w:val="52AC16F5"/>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236DF"/>
    <w:rsid w:val="547B4986"/>
    <w:rsid w:val="54837C53"/>
    <w:rsid w:val="548D1E83"/>
    <w:rsid w:val="54944CE7"/>
    <w:rsid w:val="549555A5"/>
    <w:rsid w:val="54D62DF7"/>
    <w:rsid w:val="54E95C39"/>
    <w:rsid w:val="54F54ADE"/>
    <w:rsid w:val="54FC00A7"/>
    <w:rsid w:val="551B4BD7"/>
    <w:rsid w:val="552A54CB"/>
    <w:rsid w:val="553426D6"/>
    <w:rsid w:val="55436523"/>
    <w:rsid w:val="554575FA"/>
    <w:rsid w:val="55496DF8"/>
    <w:rsid w:val="554E1565"/>
    <w:rsid w:val="555125B1"/>
    <w:rsid w:val="55545557"/>
    <w:rsid w:val="556A455B"/>
    <w:rsid w:val="5580084F"/>
    <w:rsid w:val="55852483"/>
    <w:rsid w:val="55AD541E"/>
    <w:rsid w:val="55B027EB"/>
    <w:rsid w:val="55BC338C"/>
    <w:rsid w:val="55BC4A2C"/>
    <w:rsid w:val="55C232F1"/>
    <w:rsid w:val="55CA20E9"/>
    <w:rsid w:val="55E12C81"/>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35D2C"/>
    <w:rsid w:val="592C48F9"/>
    <w:rsid w:val="593261D2"/>
    <w:rsid w:val="59423730"/>
    <w:rsid w:val="59453D6E"/>
    <w:rsid w:val="59506815"/>
    <w:rsid w:val="59517F98"/>
    <w:rsid w:val="59586CE1"/>
    <w:rsid w:val="595A6E9E"/>
    <w:rsid w:val="597E00DF"/>
    <w:rsid w:val="5980128D"/>
    <w:rsid w:val="599935B0"/>
    <w:rsid w:val="59C61854"/>
    <w:rsid w:val="59E6424E"/>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373ECC"/>
    <w:rsid w:val="5B4026E8"/>
    <w:rsid w:val="5B4516CD"/>
    <w:rsid w:val="5B482E24"/>
    <w:rsid w:val="5B5A4228"/>
    <w:rsid w:val="5B5C727B"/>
    <w:rsid w:val="5B686AC1"/>
    <w:rsid w:val="5B853A54"/>
    <w:rsid w:val="5B8B1199"/>
    <w:rsid w:val="5B9D08DB"/>
    <w:rsid w:val="5BA92534"/>
    <w:rsid w:val="5BAD5A86"/>
    <w:rsid w:val="5BC937CE"/>
    <w:rsid w:val="5BCD41C3"/>
    <w:rsid w:val="5BD429A6"/>
    <w:rsid w:val="5C0025C0"/>
    <w:rsid w:val="5C180007"/>
    <w:rsid w:val="5C5220EF"/>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1A4702"/>
    <w:rsid w:val="5D280F3C"/>
    <w:rsid w:val="5D411FCB"/>
    <w:rsid w:val="5D494B70"/>
    <w:rsid w:val="5D5C7688"/>
    <w:rsid w:val="5D615C0F"/>
    <w:rsid w:val="5D762C66"/>
    <w:rsid w:val="5D844DB8"/>
    <w:rsid w:val="5D865E73"/>
    <w:rsid w:val="5D9E6314"/>
    <w:rsid w:val="5D9F7EE8"/>
    <w:rsid w:val="5DA93319"/>
    <w:rsid w:val="5DB156E1"/>
    <w:rsid w:val="5DC937A1"/>
    <w:rsid w:val="5DD65619"/>
    <w:rsid w:val="5DEF6B62"/>
    <w:rsid w:val="5DF47982"/>
    <w:rsid w:val="5E002949"/>
    <w:rsid w:val="5E0C5358"/>
    <w:rsid w:val="5E224225"/>
    <w:rsid w:val="5E2732CD"/>
    <w:rsid w:val="5E284D50"/>
    <w:rsid w:val="5E294B38"/>
    <w:rsid w:val="5E336F39"/>
    <w:rsid w:val="5E3723C6"/>
    <w:rsid w:val="5E392F19"/>
    <w:rsid w:val="5E723BE9"/>
    <w:rsid w:val="5E7464E9"/>
    <w:rsid w:val="5E7E4092"/>
    <w:rsid w:val="5E8E6492"/>
    <w:rsid w:val="5E923ECD"/>
    <w:rsid w:val="5E9D190F"/>
    <w:rsid w:val="5EC00B79"/>
    <w:rsid w:val="5ED871EF"/>
    <w:rsid w:val="5EF5653C"/>
    <w:rsid w:val="5EFF2762"/>
    <w:rsid w:val="5F045F3A"/>
    <w:rsid w:val="5F0D642C"/>
    <w:rsid w:val="5F17008D"/>
    <w:rsid w:val="5F1C252E"/>
    <w:rsid w:val="5F1C3DD8"/>
    <w:rsid w:val="5F1E62AD"/>
    <w:rsid w:val="5F3C716D"/>
    <w:rsid w:val="5F467922"/>
    <w:rsid w:val="5F4F4D0F"/>
    <w:rsid w:val="5F5B59FB"/>
    <w:rsid w:val="5F5B6985"/>
    <w:rsid w:val="5F5F081B"/>
    <w:rsid w:val="5F704D56"/>
    <w:rsid w:val="5F777336"/>
    <w:rsid w:val="5F862DF9"/>
    <w:rsid w:val="5FA257C6"/>
    <w:rsid w:val="5FB05672"/>
    <w:rsid w:val="5FB47FA0"/>
    <w:rsid w:val="5FB57D4D"/>
    <w:rsid w:val="5FC6541D"/>
    <w:rsid w:val="5FCD3868"/>
    <w:rsid w:val="5FEE3BAD"/>
    <w:rsid w:val="5FF20BF7"/>
    <w:rsid w:val="5FF450F9"/>
    <w:rsid w:val="60085D9F"/>
    <w:rsid w:val="60127166"/>
    <w:rsid w:val="601E7125"/>
    <w:rsid w:val="60205F90"/>
    <w:rsid w:val="60217FCF"/>
    <w:rsid w:val="603F6E4B"/>
    <w:rsid w:val="604D1512"/>
    <w:rsid w:val="60512BA9"/>
    <w:rsid w:val="60595131"/>
    <w:rsid w:val="60611B77"/>
    <w:rsid w:val="6061371C"/>
    <w:rsid w:val="606D2E98"/>
    <w:rsid w:val="606F0967"/>
    <w:rsid w:val="608E2F6C"/>
    <w:rsid w:val="60BF382B"/>
    <w:rsid w:val="60C75F81"/>
    <w:rsid w:val="60C816A5"/>
    <w:rsid w:val="60CC3DDB"/>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A058F7"/>
    <w:rsid w:val="61A93693"/>
    <w:rsid w:val="61B66917"/>
    <w:rsid w:val="61BC3B1A"/>
    <w:rsid w:val="61CD4121"/>
    <w:rsid w:val="61E107FF"/>
    <w:rsid w:val="61EB22DA"/>
    <w:rsid w:val="61F2159D"/>
    <w:rsid w:val="61F4098A"/>
    <w:rsid w:val="62082A4E"/>
    <w:rsid w:val="62210F07"/>
    <w:rsid w:val="62265EC9"/>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A71F82"/>
    <w:rsid w:val="65C649BC"/>
    <w:rsid w:val="65E55EB8"/>
    <w:rsid w:val="65E73B66"/>
    <w:rsid w:val="66022F90"/>
    <w:rsid w:val="66044FCB"/>
    <w:rsid w:val="660514B3"/>
    <w:rsid w:val="66131984"/>
    <w:rsid w:val="66187135"/>
    <w:rsid w:val="662831A9"/>
    <w:rsid w:val="662C4F94"/>
    <w:rsid w:val="66313D38"/>
    <w:rsid w:val="66452ADE"/>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E2E45"/>
    <w:rsid w:val="676811E7"/>
    <w:rsid w:val="678164D2"/>
    <w:rsid w:val="67880ECE"/>
    <w:rsid w:val="67903975"/>
    <w:rsid w:val="679F6750"/>
    <w:rsid w:val="67A90AAD"/>
    <w:rsid w:val="67AE0A73"/>
    <w:rsid w:val="67AF4AEE"/>
    <w:rsid w:val="67BC006F"/>
    <w:rsid w:val="67BE34F4"/>
    <w:rsid w:val="67C94D4B"/>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44297"/>
    <w:rsid w:val="6BDB0A87"/>
    <w:rsid w:val="6BEB5350"/>
    <w:rsid w:val="6BEC7C68"/>
    <w:rsid w:val="6C0C287C"/>
    <w:rsid w:val="6C39658E"/>
    <w:rsid w:val="6C4C2667"/>
    <w:rsid w:val="6CA51813"/>
    <w:rsid w:val="6CB17A00"/>
    <w:rsid w:val="6CB81F2C"/>
    <w:rsid w:val="6CC81224"/>
    <w:rsid w:val="6CCA6D7E"/>
    <w:rsid w:val="6CD40BE1"/>
    <w:rsid w:val="6CD46A9B"/>
    <w:rsid w:val="6CDA49A3"/>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F5C52"/>
    <w:rsid w:val="6E7F76C0"/>
    <w:rsid w:val="6E874588"/>
    <w:rsid w:val="6E8C7A11"/>
    <w:rsid w:val="6E9644A1"/>
    <w:rsid w:val="6EA567C2"/>
    <w:rsid w:val="6EAC6909"/>
    <w:rsid w:val="6EBA6E94"/>
    <w:rsid w:val="6EBD64D7"/>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7C77FB"/>
    <w:rsid w:val="6F8323D0"/>
    <w:rsid w:val="6F981439"/>
    <w:rsid w:val="6FB23A01"/>
    <w:rsid w:val="6FBA4BA1"/>
    <w:rsid w:val="6FBC778D"/>
    <w:rsid w:val="6FDC4815"/>
    <w:rsid w:val="6FEA3E2C"/>
    <w:rsid w:val="6FEB04D5"/>
    <w:rsid w:val="701241A0"/>
    <w:rsid w:val="70142157"/>
    <w:rsid w:val="702603AF"/>
    <w:rsid w:val="704065EF"/>
    <w:rsid w:val="70531F9D"/>
    <w:rsid w:val="705E3F40"/>
    <w:rsid w:val="70663A7A"/>
    <w:rsid w:val="70726E65"/>
    <w:rsid w:val="708D6E69"/>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B15C2B"/>
    <w:rsid w:val="71C775AC"/>
    <w:rsid w:val="71E27EA1"/>
    <w:rsid w:val="72024D75"/>
    <w:rsid w:val="72026398"/>
    <w:rsid w:val="722B4090"/>
    <w:rsid w:val="723F5976"/>
    <w:rsid w:val="724530CF"/>
    <w:rsid w:val="72607C33"/>
    <w:rsid w:val="7267558B"/>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E4D67"/>
    <w:rsid w:val="73FC6BEB"/>
    <w:rsid w:val="74016246"/>
    <w:rsid w:val="741255AF"/>
    <w:rsid w:val="745A4881"/>
    <w:rsid w:val="745C121D"/>
    <w:rsid w:val="7466647B"/>
    <w:rsid w:val="746D0FDE"/>
    <w:rsid w:val="746F3109"/>
    <w:rsid w:val="74881C43"/>
    <w:rsid w:val="749A55E5"/>
    <w:rsid w:val="74B3391B"/>
    <w:rsid w:val="74CF4EC9"/>
    <w:rsid w:val="74D552C0"/>
    <w:rsid w:val="74DB0C49"/>
    <w:rsid w:val="74E40DB3"/>
    <w:rsid w:val="74F1132B"/>
    <w:rsid w:val="7514569D"/>
    <w:rsid w:val="751B5F96"/>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8164D"/>
    <w:rsid w:val="76375AC5"/>
    <w:rsid w:val="76475DB4"/>
    <w:rsid w:val="765062E5"/>
    <w:rsid w:val="76725203"/>
    <w:rsid w:val="767263E3"/>
    <w:rsid w:val="767955BC"/>
    <w:rsid w:val="767F673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270EE0"/>
    <w:rsid w:val="78271104"/>
    <w:rsid w:val="7828402F"/>
    <w:rsid w:val="782F5476"/>
    <w:rsid w:val="783000F4"/>
    <w:rsid w:val="78464A37"/>
    <w:rsid w:val="784A60C8"/>
    <w:rsid w:val="784B7472"/>
    <w:rsid w:val="785E7134"/>
    <w:rsid w:val="78661ED8"/>
    <w:rsid w:val="78815E79"/>
    <w:rsid w:val="78861A8D"/>
    <w:rsid w:val="788F779E"/>
    <w:rsid w:val="78973BA6"/>
    <w:rsid w:val="78A376CA"/>
    <w:rsid w:val="78AB08D6"/>
    <w:rsid w:val="78CE534E"/>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A3466E6"/>
    <w:rsid w:val="7A410FED"/>
    <w:rsid w:val="7A4205D3"/>
    <w:rsid w:val="7A4F3DD9"/>
    <w:rsid w:val="7A577D70"/>
    <w:rsid w:val="7A5872B9"/>
    <w:rsid w:val="7A5C3640"/>
    <w:rsid w:val="7A73566B"/>
    <w:rsid w:val="7A761A22"/>
    <w:rsid w:val="7A7D4F17"/>
    <w:rsid w:val="7A801366"/>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D38EC"/>
    <w:rsid w:val="7BF8597E"/>
    <w:rsid w:val="7C12395E"/>
    <w:rsid w:val="7C14711B"/>
    <w:rsid w:val="7C1932F5"/>
    <w:rsid w:val="7C303ADD"/>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F027B"/>
    <w:rsid w:val="7E2653BA"/>
    <w:rsid w:val="7E2B63E7"/>
    <w:rsid w:val="7E3062D1"/>
    <w:rsid w:val="7E4048EE"/>
    <w:rsid w:val="7E5348C9"/>
    <w:rsid w:val="7E575DF3"/>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3336C"/>
    <w:rsid w:val="7F7614D8"/>
    <w:rsid w:val="7F7A7D69"/>
    <w:rsid w:val="7F8029F6"/>
    <w:rsid w:val="7F822892"/>
    <w:rsid w:val="7F875650"/>
    <w:rsid w:val="7F8A68D8"/>
    <w:rsid w:val="7FA22782"/>
    <w:rsid w:val="7FA522BC"/>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2024-08-09T07:42:00Z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